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hAnsi="华文仿宋" w:eastAsia="方正小标宋简体"/>
          <w:b w:val="0"/>
          <w:i w:val="0"/>
          <w:caps w:val="0"/>
          <w:spacing w:val="0"/>
          <w:w w:val="100"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互联网协议第六版（IPv6）规模部署和应用优秀案例</w:t>
      </w:r>
      <w:r>
        <w:rPr>
          <w:rFonts w:hint="eastAsia" w:ascii="方正小标宋简体" w:hAnsi="华文仿宋" w:eastAsia="方正小标宋简体"/>
          <w:b w:val="0"/>
          <w:i w:val="0"/>
          <w:caps w:val="0"/>
          <w:spacing w:val="0"/>
          <w:w w:val="100"/>
          <w:sz w:val="44"/>
        </w:rPr>
        <w:t>入选名单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（共入选100个案例，排名不分先后）</w:t>
      </w:r>
    </w:p>
    <w:tbl>
      <w:tblPr>
        <w:tblStyle w:val="8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4697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6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36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网络基础设施类（16个）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5G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独立组网的</w:t>
            </w: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单栈技术验证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筑牢IPv6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网络根基，支撑</w:t>
            </w: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IPv6+</w:t>
            </w:r>
            <w:r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的城域网实践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北京联通</w:t>
            </w: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IPv6+5G</w:t>
            </w:r>
            <w:r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承载网创新实践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中国联合网络通信集团有限公司网络部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中国联合网络通信有限公司北京市分公司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中国教育和科研计算机网CERNET 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规模部署示范先行与技术创新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中国教育和科研计算机网CERNET网络中心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提高家庭宽带</w:t>
            </w: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地址分配率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中国电信股份有限公司辽宁分公司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攻坚克难，全面推进支撑网</w:t>
            </w: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业务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运营商网络的IPv6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部署与改造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中国移动通信集团安徽有限公司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组织、技术、经营、管理</w:t>
            </w: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四轮驱动，全速推进</w:t>
            </w: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升级改造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中国移动通信集团江西有限公司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南开大学IPv6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规模化部署研究和实践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下一代互联网助力一流大学建设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基于IPv6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5G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虚拟校园网建设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厦门大学校园网IPv6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落实行动计划，全面实现IPv6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2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深圳大学IPv6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建设与应用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区域IPv6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规模部署助力松江教育现代化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上海市松江区教育学院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推进物联网改造，支持终端基于静态</w:t>
            </w:r>
            <w:r>
              <w:rPr>
                <w:rStyle w:val="10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地址实现通信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中移物联网有限公司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应用基础设施类（16个）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教育系统IPv6发展态势监测平台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赛尔网络有限公司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教育网联邦认证和资源共享基础设施CARSI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北京大学计算中心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环境下的大规模视频分发平台建设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长安盾云防御平台IPv6安全改造方案规模部署和应用案例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长安通信科技有限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以中车出口机车远程监测与诊断系统为试点推动中车集团IPv6规模化部署应用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一汽集团数据中心IPv6网络改造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中国第一汽车集团有限公司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体系数字化部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网宿IPv6升级助力企业新发展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网宿科技股份有限公司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江苏省IPv6综合监测平台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移动云IPv6规模部署案例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中移（苏州）软件技术有限公司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阿里云CDN IPv6改造项目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阿里云计算有限公司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新华三技术有限公司基于IPv6的应用驱动网络赋能天津移动IT资源池案例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赋能国家（杭州）新型互联交换中心升级，新技术打造互联网交换中心能力底座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浙江移动信息系统集成有限公司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华润集团深汕数据中心IPv6改造实践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广东润联信息技术有限公司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华南理工大学助推广东高校IPv6规模化部署-从学校到全省的IPv6服务应用推广方案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广西互联网协议第六版（IPv6）规模部署发展监测平台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广西信息化发展组织联合会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首个基于IPv6的端到端国际体育赛事云平台项目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中国电信股份有限公司成都分公司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互联网商业应用类（15个）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京东云助力京东集团打造全栈IPv6能力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京东科技控股股份有限公司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小米网提升IPv6连接和流量占比 完成终端产品IPv6标注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小米科技有限责任公司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IPv6网络自适应检测阻断安全运营体系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腾讯云计算（北京）有限责任公司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百度网盘IPv6规模部署案例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北京度友科技有限公司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去哪儿网全站 IPv6 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北京趣拿信息技术有限公司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贝壳找房IPv6综合解决方案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贝壳找房（北京）科技有限公司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咪咕视频面向下一代互联网技术IPv6规模化部署和应用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咪咕文化科技有限公司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北京移动网站、APP涉及IPv6改造应用案例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中国移动通信集团北京有限公司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360手机卫士和清理大师IPv6规模部署和应用案例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三六零安全科技股份有限公司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苏宁易购IPv6全场景改造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苏宁易购集团股份有限公司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阿里云IPv6规模部署，数字经济基础能力再升级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阿里云计算有限公司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考拉海购IPv6双栈改造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考拉海购（杭州）科技有限公司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淘宝IPv6双栈改造和平滑迁移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浙江淘宝网络有限公司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IPv6助力5G+视频向超高清时代发展——浙江移动视频业务IPv6改造案例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QQ邮箱IPv6规模部署和应用案例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深圳市腾讯计算机系统有限公司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政府网站及政务应用类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（10个）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水利部网站群及公众服务平台IPv6应用和安全升级改造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水利部信息中心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天津市电子政务外网IPv6升级改造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天津市大数据管理中心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市政府网站IPv6改造统筹推进与集约建设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上海市大数据中心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强化党的领导 统筹推进IPv6部署改造——青海省委网信办IPv6部署改造案例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中共青海省委网络安全和信息化委员会办公室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扎实推进网络强国建设 充分发挥党政机关网站示范引领作用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大连市大数据中心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城市基础网络双栈运行 网络理政创新运用持续发展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成都市政务服务管理和网络理政办公室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未来检察 智慧出行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人民检察院雄安新区分院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基于IPv6下一代网络架构的雪亮工程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沈阳市和平区信息中心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运城市政府网站集约化平台IPv6改造项目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运城市人民政府办公室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简析“邯郸广电网”网站IPv6升级改造方案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行业融合应用类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26个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攻坚克难 务实进取 高效推进金融业IPv6规模部署与应用</w:t>
            </w:r>
            <w:bookmarkStart w:id="0" w:name="_GoBack"/>
            <w:bookmarkEnd w:id="0"/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中国人民银行科技司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统筹规划 科学施策 全面推进 融合创新——广东省教育厅IPv6规模部署和融合创新应用案例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中国石油油气生产网络IPv6升级改造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中国石油天然气集团有限公司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石化网站IPv6改造经验浅谈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中国海油网络IPv6改造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中国海洋石油集团有限公司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基于IPv6物联网技术的智能营配终端助力国家电网能源互联网建设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中国电力科学研究院有限公司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华为技术有限公司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IPv6互联网络助力数字电网建设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南方电网数字电网研究院有限公司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IPv6在三峡集团互联网站系统中的应用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中国长江三峡集团有限公司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东风汽车集团IPv6规模部署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东风通信技术有限公司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南航迈进IPv6新时代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中国南方航空股份有限公司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基于云计算架构的轻量IPv6改造实践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中国中化控股有限责任公司数字化部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中冶赛迪工业互联网标识解析二级节点（冶金行业创新服务平台）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中国五矿集团有限公司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推动IPv6技术应用，助力建筑央企数字化转型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中国交通建设集团有限公司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中国广核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集团互联网业务系统IPv6改造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中国广核集团有限公司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基于IPv6的工业互联网平台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北京航天智造科技发展有限公司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互联网应用系统及基础设施IPv6改造和实践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IPv6技术研究与规模部署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条分缕析齐头并进，多面一体协同改造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推进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互联网建设 助力广发数字化转型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凝心聚力，全力推进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部署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两级协作推进全省农商银行系统互联网应用 IPv6改造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安徽农商银行系统IPv6规模部署和应用案例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安徽省农村信用社联合社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从网络基础架构到上层应用的可推广的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改造方案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11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建设联合国科教文组织国际工程科技知识中心，促进丝路沿线国家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网络发展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+5G技术的医院物流机器人运输平台的探索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上海交通大学医学院附属瑞金医院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人机协同的智能微创医疗装备系统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合肥工业大学信息化建设与发展中心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新闻媒体网站集群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升级改造项目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福建东南网传媒股份有限公司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终端产品支持类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互联网电视端到端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改造和流量提升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中国移动通信集团北京有限公司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家庭光纤宽带接入系统的IPv6规模部署应用案例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广电网络IPv6规模部署与应用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广东弘智科技有限公司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守正创新、使命必达，推进家庭网关及互联网电视终端升级改造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中移物联网有限公司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关键技术创新类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（13个）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基于SRv6技术构建的国家电网公司广域综合承载网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国家电网有限公司信息通信分公司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基于IPv6+的差异化业务承载部署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面向云网融合的G-SRv6协议体系创新及规模应用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中国移动通信有限公司研究院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打造基于SRv6 Policy智能云广域网络，践行新金融战略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下一代互联网及重大应用技术创新园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赛尔网络有限公司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面向5G边缘计算平台的安全防护解决方案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面向IPv6规模部署的互联网暴露面安全管控方案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中国移动通信信息安全管理与运行中心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中国移动通信集团江西有限公司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中国移动通信集团贵州有限公司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采用灰度发布及SRv6技术推进IPv6在浦发银行的规模部署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江苏电信基于IPv6+的新型城域网规模商用实践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中国电信股份有限公司江苏分公司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IPv6地理位置库关键技术和应用实践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阿里巴巴（中国）网络技术有限公司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基于IPv6+的智能云网解决方案关键技术创新及规模部署实践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IPv6新技术创新孵化平台助力IPv6新技术研究和部署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基于IPv6+技术的广西电子政务外网第二平面网络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广西壮族自治区信息中心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altName w:val="Microsoft JhengHei Light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344D7"/>
    <w:rsid w:val="28E33273"/>
    <w:rsid w:val="2B3D5293"/>
    <w:rsid w:val="2F6344D7"/>
    <w:rsid w:val="545A0C71"/>
    <w:rsid w:val="6A6F4196"/>
    <w:rsid w:val="7A1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2021-09-23T04:26:00Z</dcterms:created>
  <dc:creator>A n nie</dc:creator>
  <cp:lastModifiedBy>tf</cp:lastModifiedBy>
  <dcterms:modified xsi:type="dcterms:W3CDTF">2021-09-24T12:21:20Z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60BCC9829D794E28A1AAC4F1B2DD8038</vt:lpwstr>
  </property>
</Properties>
</file>